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r>
        <mc:AlternateContent>
          <mc:Choice Requires="wpg">
            <w:drawing>
              <wp:anchor distT="0" distB="0" distL="114300" distR="114300" simplePos="0" relativeHeight="251679744" behindDoc="1" locked="0" layoutInCell="1" allowOverlap="1">
                <wp:simplePos x="0" y="0"/>
                <wp:positionH relativeFrom="column">
                  <wp:posOffset>-1003935</wp:posOffset>
                </wp:positionH>
                <wp:positionV relativeFrom="paragraph">
                  <wp:posOffset>550545</wp:posOffset>
                </wp:positionV>
                <wp:extent cx="7623175" cy="3917950"/>
                <wp:effectExtent l="0" t="0" r="15875" b="6350"/>
                <wp:wrapNone/>
                <wp:docPr id="4" name="组合 4"/>
                <wp:cNvGraphicFramePr/>
                <a:graphic xmlns:a="http://schemas.openxmlformats.org/drawingml/2006/main">
                  <a:graphicData uri="http://schemas.microsoft.com/office/word/2010/wordprocessingGroup">
                    <wpg:wgp>
                      <wpg:cNvGrpSpPr/>
                      <wpg:grpSpPr>
                        <a:xfrm>
                          <a:off x="0" y="0"/>
                          <a:ext cx="7623175" cy="3917950"/>
                          <a:chOff x="13562" y="973"/>
                          <a:chExt cx="12005" cy="6170"/>
                        </a:xfrm>
                      </wpg:grpSpPr>
                      <wps:wsp>
                        <wps:cNvPr id="6" name="矩形 5"/>
                        <wps:cNvSpPr/>
                        <wps:spPr>
                          <a:xfrm>
                            <a:off x="13562" y="97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89" y="3926"/>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79.05pt;margin-top:43.35pt;height:308.5pt;width:600.25pt;z-index:-251636736;mso-width-relative:page;mso-height-relative:page;" coordorigin="13562,973" coordsize="12005,6170" o:gfxdata="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hVti43AAAAAwBAAAPAAAAAAAAAAEAIAAAACIA&#10;AABkcnMvZG93bnJldi54bWxQSwECFAAUAAAACACHTuJAonP0yLACAAAvBgAADgAAAAAAAAABACAA&#10;AAArAQAAZHJzL2Uyb0RvYy54bWxQSwUGAAAAAAYABgBZAQAATQYAAAAA&#10;">
                <o:lock v:ext="edit" aspectratio="f"/>
                <v:rect id="矩形 5" o:spid="_x0000_s1026" o:spt="1" style="position:absolute;left:13562;top:97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89;top:3926;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香河县审计局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）编制全县审计工作规划，制定年度工作重点；参加香河县有关审计、财政方面的政策法规；制定审计规范并监督执行情况。</w:t>
      </w:r>
    </w:p>
    <w:p>
      <w:pPr>
        <w:pStyle w:val="1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）向县政府报告和向县政府有关部分通报审计情况并制定和完善有关政策法规、工作措施的建议。</w:t>
      </w:r>
    </w:p>
    <w:p>
      <w:pPr>
        <w:pStyle w:val="1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）依据《中华人民共和国审计法》和《中华人民共和国审计法实施条例》规定，直接进行下列审计：</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县本级财政预算执行情况和其他财政收支。</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县直各部门、事业单位及下属单位的财务收支。</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乡镇人民政府预算执行情况和决算。</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县政府部门和乡镇人民政府预算财政收支。</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上级审计机关授权的国有金融、保险机构，非银行金融机构资产、负债和损益状况。</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县政府管理和受县政府委托有社会团体管理的社会保障基金、环境保护基金、社会捐赠资金及其它有关基金、资产的财务收支。</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审计署授权的国际组织和外国政府援助、贷款项目的财务收支。</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县属境外企业、合资合作企业的资产、负债和损益状况。</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县国有企业、国有控股企业的资产、负债和损益状况。</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国家投资建设项目的预算或概算执行情况和决算。</w:t>
      </w:r>
    </w:p>
    <w:p>
      <w:pPr>
        <w:pStyle w:val="1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其他法律法规规定的审计事项。</w:t>
      </w:r>
    </w:p>
    <w:p>
      <w:pPr>
        <w:pStyle w:val="13"/>
        <w:numPr>
          <w:numId w:val="0"/>
        </w:numPr>
        <w:ind w:leftChars="0"/>
        <w:rPr>
          <w:rFonts w:ascii="仿宋" w:hAnsi="仿宋" w:eastAsia="仿宋" w:cs="Times New Roman"/>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）向县长提交县本级预算执行情况的审计结果报告及县政府委托向县人大常委会提出预算执行情况和其他收支审计工作报告。</w:t>
      </w:r>
    </w:p>
    <w:p>
      <w:pPr>
        <w:pStyle w:val="13"/>
        <w:numPr>
          <w:numId w:val="0"/>
        </w:numPr>
        <w:ind w:leftChars="0"/>
        <w:rPr>
          <w:rFonts w:ascii="仿宋" w:hAnsi="仿宋" w:eastAsia="仿宋" w:cs="Times New Roman"/>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）组织实施对贯彻执行国家财经方针政策和宏观调整情况的行业审计、专项审计和审计调查；组织实施全县及以下党政领导干部、国有企业和国有控股企业领导的任期经济责任审计。</w:t>
      </w:r>
    </w:p>
    <w:p>
      <w:pPr>
        <w:pStyle w:val="13"/>
        <w:numPr>
          <w:numId w:val="0"/>
        </w:numPr>
        <w:ind w:leftChars="0"/>
        <w:rPr>
          <w:rFonts w:ascii="仿宋" w:hAnsi="仿宋" w:eastAsia="仿宋" w:cs="Times New Roman"/>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）组织实施对内部审计的指导与监督。</w:t>
      </w:r>
    </w:p>
    <w:p>
      <w:pPr>
        <w:pStyle w:val="13"/>
        <w:numPr>
          <w:numId w:val="0"/>
        </w:numPr>
        <w:ind w:leftChars="0"/>
        <w:rPr>
          <w:rFonts w:ascii="仿宋" w:hAnsi="仿宋" w:eastAsia="仿宋" w:cs="Times New Roman"/>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）对依法独立进行社会审计的会计师事务所进行指导、监督和管理。</w:t>
      </w:r>
    </w:p>
    <w:p>
      <w:pPr>
        <w:pStyle w:val="13"/>
        <w:numPr>
          <w:numId w:val="0"/>
        </w:numPr>
        <w:ind w:leftChars="0"/>
        <w:rPr>
          <w:rFonts w:ascii="仿宋" w:hAnsi="仿宋" w:eastAsia="仿宋" w:cs="Times New Roman"/>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）承办县政府和上级审计机关交办的其他事项。</w:t>
      </w:r>
    </w:p>
    <w:p>
      <w:pPr>
        <w:keepNext/>
        <w:keepLines/>
        <w:spacing w:line="580" w:lineRule="exact"/>
        <w:jc w:val="left"/>
        <w:outlineLvl w:val="0"/>
        <w:rPr>
          <w:rFonts w:hint="eastAsia" w:ascii="黑体" w:hAnsi="Calibri" w:eastAsia="黑体" w:cs="黑体"/>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after="0" w:line="560" w:lineRule="exact"/>
        <w:rPr>
          <w:rFonts w:ascii="仿宋_GB2312" w:hAnsi="Cambria" w:eastAsia="仿宋_GB2312" w:cs="Times New Roman"/>
          <w:kern w:val="0"/>
          <w:sz w:val="32"/>
          <w:szCs w:val="32"/>
        </w:rPr>
      </w:pPr>
      <w:r>
        <w:rPr>
          <w:rFonts w:hint="eastAsia" w:ascii="仿宋_GB2312" w:hAnsi="Cambria" w:eastAsia="仿宋_GB2312" w:cs="仿宋_GB2312"/>
          <w:kern w:val="0"/>
          <w:sz w:val="32"/>
          <w:szCs w:val="32"/>
        </w:rPr>
        <w:t>从决算编报单位构成看，纳入</w:t>
      </w:r>
      <w:r>
        <w:rPr>
          <w:rFonts w:ascii="仿宋_GB2312" w:hAnsi="Cambria" w:eastAsia="仿宋_GB2312" w:cs="仿宋_GB2312"/>
          <w:kern w:val="0"/>
          <w:sz w:val="32"/>
          <w:szCs w:val="32"/>
        </w:rPr>
        <w:t>201</w:t>
      </w:r>
      <w:r>
        <w:rPr>
          <w:rFonts w:hint="eastAsia" w:ascii="仿宋_GB2312" w:hAnsi="Cambria" w:eastAsia="仿宋_GB2312" w:cs="仿宋_GB2312"/>
          <w:kern w:val="0"/>
          <w:sz w:val="32"/>
          <w:szCs w:val="32"/>
          <w:lang w:val="en-US" w:eastAsia="zh-CN"/>
        </w:rPr>
        <w:t>9</w:t>
      </w:r>
      <w:r>
        <w:rPr>
          <w:rFonts w:ascii="仿宋_GB2312" w:hAnsi="Cambria" w:eastAsia="仿宋_GB2312" w:cs="仿宋_GB2312"/>
          <w:kern w:val="0"/>
          <w:sz w:val="32"/>
          <w:szCs w:val="32"/>
        </w:rPr>
        <w:t xml:space="preserve"> </w:t>
      </w:r>
      <w:r>
        <w:rPr>
          <w:rFonts w:hint="eastAsia" w:ascii="仿宋_GB2312" w:hAnsi="Cambria" w:eastAsia="仿宋_GB2312" w:cs="仿宋_GB2312"/>
          <w:kern w:val="0"/>
          <w:sz w:val="32"/>
          <w:szCs w:val="32"/>
        </w:rPr>
        <w:t>年度本部门决算汇编范围的独立核算单位（以下简称“单位”）共</w:t>
      </w:r>
      <w:r>
        <w:rPr>
          <w:rFonts w:ascii="仿宋_GB2312" w:hAnsi="Cambria" w:eastAsia="仿宋_GB2312" w:cs="仿宋_GB2312"/>
          <w:kern w:val="0"/>
          <w:sz w:val="32"/>
          <w:szCs w:val="32"/>
        </w:rPr>
        <w:t>1</w:t>
      </w:r>
      <w:r>
        <w:rPr>
          <w:rFonts w:hint="eastAsia" w:ascii="仿宋_GB2312" w:hAnsi="Cambria" w:eastAsia="仿宋_GB2312" w:cs="仿宋_GB2312"/>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Times New Roman"/>
                <w:b/>
                <w:bCs/>
                <w:kern w:val="0"/>
                <w:sz w:val="28"/>
                <w:szCs w:val="28"/>
              </w:rPr>
            </w:pPr>
            <w:r>
              <w:rPr>
                <w:rFonts w:hint="eastAsia" w:ascii="仿宋_GB2312" w:hAnsi="Cambria" w:eastAsia="仿宋_GB2312" w:cs="仿宋_GB2312"/>
                <w:b/>
                <w:bCs/>
                <w:kern w:val="0"/>
                <w:sz w:val="28"/>
                <w:szCs w:val="28"/>
              </w:rPr>
              <w:t>序号</w:t>
            </w:r>
          </w:p>
        </w:tc>
        <w:tc>
          <w:tcPr>
            <w:tcW w:w="3485" w:type="dxa"/>
            <w:vAlign w:val="center"/>
          </w:tcPr>
          <w:p>
            <w:pPr>
              <w:spacing w:after="0" w:line="560" w:lineRule="exact"/>
              <w:jc w:val="center"/>
              <w:rPr>
                <w:rFonts w:ascii="仿宋_GB2312" w:hAnsi="Cambria" w:eastAsia="仿宋_GB2312" w:cs="Times New Roman"/>
                <w:b/>
                <w:bCs/>
                <w:kern w:val="0"/>
                <w:sz w:val="28"/>
                <w:szCs w:val="28"/>
              </w:rPr>
            </w:pPr>
            <w:r>
              <w:rPr>
                <w:rFonts w:hint="eastAsia" w:ascii="仿宋_GB2312" w:hAnsi="Cambria" w:eastAsia="仿宋_GB2312" w:cs="仿宋_GB2312"/>
                <w:b/>
                <w:bCs/>
                <w:kern w:val="0"/>
                <w:sz w:val="28"/>
                <w:szCs w:val="28"/>
              </w:rPr>
              <w:t>单位名称</w:t>
            </w:r>
          </w:p>
        </w:tc>
        <w:tc>
          <w:tcPr>
            <w:tcW w:w="2445" w:type="dxa"/>
            <w:vAlign w:val="center"/>
          </w:tcPr>
          <w:p>
            <w:pPr>
              <w:spacing w:after="0" w:line="560" w:lineRule="exact"/>
              <w:jc w:val="center"/>
              <w:rPr>
                <w:rFonts w:ascii="仿宋_GB2312" w:hAnsi="Cambria" w:eastAsia="仿宋_GB2312" w:cs="Times New Roman"/>
                <w:b/>
                <w:bCs/>
                <w:kern w:val="0"/>
                <w:sz w:val="28"/>
                <w:szCs w:val="28"/>
              </w:rPr>
            </w:pPr>
            <w:r>
              <w:rPr>
                <w:rFonts w:hint="eastAsia" w:ascii="仿宋_GB2312" w:hAnsi="Cambria" w:eastAsia="仿宋_GB2312" w:cs="仿宋_GB2312"/>
                <w:b/>
                <w:bCs/>
                <w:kern w:val="0"/>
                <w:sz w:val="28"/>
                <w:szCs w:val="28"/>
              </w:rPr>
              <w:t>单位基本性质</w:t>
            </w:r>
          </w:p>
        </w:tc>
        <w:tc>
          <w:tcPr>
            <w:tcW w:w="2665" w:type="dxa"/>
            <w:vAlign w:val="center"/>
          </w:tcPr>
          <w:p>
            <w:pPr>
              <w:spacing w:after="0" w:line="560" w:lineRule="exact"/>
              <w:jc w:val="center"/>
              <w:rPr>
                <w:rFonts w:ascii="仿宋_GB2312" w:hAnsi="Cambria" w:eastAsia="仿宋_GB2312" w:cs="Times New Roman"/>
                <w:b/>
                <w:bCs/>
                <w:kern w:val="0"/>
                <w:sz w:val="28"/>
                <w:szCs w:val="28"/>
              </w:rPr>
            </w:pPr>
            <w:r>
              <w:rPr>
                <w:rFonts w:hint="eastAsia" w:ascii="仿宋_GB2312" w:hAnsi="Cambria"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1</w:t>
            </w:r>
          </w:p>
        </w:tc>
        <w:tc>
          <w:tcPr>
            <w:tcW w:w="3485" w:type="dxa"/>
          </w:tcPr>
          <w:p>
            <w:pPr>
              <w:spacing w:after="0" w:line="560" w:lineRule="exact"/>
              <w:rPr>
                <w:rFonts w:ascii="仿宋_GB2312" w:hAnsi="Cambria" w:eastAsia="仿宋_GB2312" w:cs="Times New Roman"/>
                <w:kern w:val="0"/>
                <w:sz w:val="28"/>
                <w:szCs w:val="28"/>
              </w:rPr>
            </w:pPr>
            <w:r>
              <w:rPr>
                <w:rFonts w:hint="eastAsia" w:ascii="仿宋_GB2312" w:hAnsi="Cambria" w:eastAsia="仿宋_GB2312" w:cs="仿宋_GB2312"/>
                <w:kern w:val="0"/>
                <w:sz w:val="32"/>
                <w:szCs w:val="32"/>
              </w:rPr>
              <w:t>香河县审计局</w:t>
            </w:r>
          </w:p>
        </w:tc>
        <w:tc>
          <w:tcPr>
            <w:tcW w:w="2445" w:type="dxa"/>
          </w:tcPr>
          <w:p>
            <w:pPr>
              <w:spacing w:after="0" w:line="560" w:lineRule="exact"/>
              <w:jc w:val="center"/>
              <w:rPr>
                <w:rFonts w:ascii="仿宋_GB2312" w:hAnsi="Cambria" w:eastAsia="仿宋_GB2312" w:cs="Times New Roman"/>
                <w:kern w:val="0"/>
                <w:sz w:val="28"/>
                <w:szCs w:val="28"/>
              </w:rPr>
            </w:pPr>
            <w:r>
              <w:rPr>
                <w:rFonts w:hint="eastAsia" w:ascii="仿宋_GB2312" w:hAnsi="Cambria" w:eastAsia="仿宋_GB2312" w:cs="仿宋_GB2312"/>
                <w:kern w:val="0"/>
                <w:sz w:val="32"/>
                <w:szCs w:val="32"/>
              </w:rPr>
              <w:t>行政单位</w:t>
            </w:r>
          </w:p>
        </w:tc>
        <w:tc>
          <w:tcPr>
            <w:tcW w:w="2665" w:type="dxa"/>
          </w:tcPr>
          <w:p>
            <w:pPr>
              <w:spacing w:after="0" w:line="560" w:lineRule="exact"/>
              <w:jc w:val="center"/>
              <w:rPr>
                <w:rFonts w:ascii="仿宋_GB2312" w:hAnsi="Cambria" w:eastAsia="仿宋_GB2312" w:cs="Times New Roman"/>
                <w:kern w:val="0"/>
                <w:sz w:val="28"/>
                <w:szCs w:val="28"/>
              </w:rPr>
            </w:pPr>
            <w:r>
              <w:rPr>
                <w:rFonts w:hint="eastAsia" w:ascii="仿宋_GB2312" w:hAnsi="Cambria" w:eastAsia="仿宋_GB2312" w:cs="仿宋_GB2312"/>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2</w:t>
            </w:r>
          </w:p>
        </w:tc>
        <w:tc>
          <w:tcPr>
            <w:tcW w:w="3485" w:type="dxa"/>
          </w:tcPr>
          <w:p>
            <w:pPr>
              <w:spacing w:after="0" w:line="560" w:lineRule="exact"/>
              <w:rPr>
                <w:rFonts w:ascii="仿宋_GB2312" w:hAnsi="Cambria" w:eastAsia="仿宋_GB2312" w:cs="Times New Roman"/>
                <w:kern w:val="0"/>
                <w:sz w:val="28"/>
                <w:szCs w:val="28"/>
              </w:rPr>
            </w:pPr>
          </w:p>
        </w:tc>
        <w:tc>
          <w:tcPr>
            <w:tcW w:w="2445" w:type="dxa"/>
          </w:tcPr>
          <w:p>
            <w:pPr>
              <w:spacing w:after="0" w:line="560" w:lineRule="exact"/>
              <w:jc w:val="center"/>
              <w:rPr>
                <w:rFonts w:ascii="仿宋_GB2312" w:hAnsi="Cambria" w:eastAsia="仿宋_GB2312" w:cs="Times New Roman"/>
                <w:kern w:val="0"/>
                <w:sz w:val="28"/>
                <w:szCs w:val="28"/>
              </w:rPr>
            </w:pPr>
          </w:p>
        </w:tc>
        <w:tc>
          <w:tcPr>
            <w:tcW w:w="2665" w:type="dxa"/>
          </w:tcPr>
          <w:p>
            <w:pPr>
              <w:spacing w:after="0" w:line="560" w:lineRule="exact"/>
              <w:jc w:val="center"/>
              <w:rPr>
                <w:rFonts w:ascii="仿宋_GB2312" w:hAnsi="Cambria"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3</w:t>
            </w:r>
          </w:p>
        </w:tc>
        <w:tc>
          <w:tcPr>
            <w:tcW w:w="3485" w:type="dxa"/>
          </w:tcPr>
          <w:p>
            <w:pPr>
              <w:spacing w:after="0" w:line="560" w:lineRule="exact"/>
              <w:rPr>
                <w:rFonts w:ascii="仿宋_GB2312" w:hAnsi="Cambria" w:eastAsia="仿宋_GB2312" w:cs="Times New Roman"/>
                <w:kern w:val="0"/>
                <w:sz w:val="28"/>
                <w:szCs w:val="28"/>
              </w:rPr>
            </w:pPr>
          </w:p>
        </w:tc>
        <w:tc>
          <w:tcPr>
            <w:tcW w:w="2445" w:type="dxa"/>
          </w:tcPr>
          <w:p>
            <w:pPr>
              <w:spacing w:after="0" w:line="560" w:lineRule="exact"/>
              <w:jc w:val="center"/>
              <w:rPr>
                <w:rFonts w:ascii="仿宋_GB2312" w:hAnsi="Cambria" w:eastAsia="仿宋_GB2312" w:cs="Times New Roman"/>
                <w:kern w:val="0"/>
                <w:sz w:val="28"/>
                <w:szCs w:val="28"/>
              </w:rPr>
            </w:pPr>
          </w:p>
        </w:tc>
        <w:tc>
          <w:tcPr>
            <w:tcW w:w="2665" w:type="dxa"/>
          </w:tcPr>
          <w:p>
            <w:pPr>
              <w:spacing w:after="0" w:line="560" w:lineRule="exact"/>
              <w:jc w:val="center"/>
              <w:rPr>
                <w:rFonts w:ascii="仿宋_GB2312" w:hAnsi="Cambria"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_GB2312" w:hAnsi="Cambria" w:eastAsia="仿宋_GB2312" w:cs="Times New Roman"/>
                <w:kern w:val="0"/>
                <w:sz w:val="28"/>
                <w:szCs w:val="28"/>
              </w:rPr>
            </w:pPr>
            <w:r>
              <w:rPr>
                <w:rFonts w:hint="eastAsia" w:ascii="仿宋_GB2312" w:hAnsi="Cambria" w:eastAsia="仿宋_GB2312" w:cs="仿宋_GB2312"/>
                <w:kern w:val="0"/>
                <w:sz w:val="28"/>
                <w:szCs w:val="28"/>
              </w:rPr>
              <w:t>……</w:t>
            </w:r>
          </w:p>
        </w:tc>
        <w:tc>
          <w:tcPr>
            <w:tcW w:w="3485" w:type="dxa"/>
          </w:tcPr>
          <w:p>
            <w:pPr>
              <w:spacing w:after="0" w:line="560" w:lineRule="exact"/>
              <w:rPr>
                <w:rFonts w:ascii="仿宋_GB2312" w:hAnsi="Cambria" w:eastAsia="仿宋_GB2312" w:cs="Times New Roman"/>
                <w:kern w:val="0"/>
                <w:sz w:val="28"/>
                <w:szCs w:val="28"/>
              </w:rPr>
            </w:pPr>
            <w:r>
              <w:rPr>
                <w:rFonts w:hint="eastAsia" w:ascii="仿宋_GB2312" w:hAnsi="Cambria" w:eastAsia="仿宋_GB2312" w:cs="仿宋_GB2312"/>
                <w:kern w:val="0"/>
                <w:sz w:val="28"/>
                <w:szCs w:val="28"/>
              </w:rPr>
              <w:t>……………</w:t>
            </w:r>
          </w:p>
        </w:tc>
        <w:tc>
          <w:tcPr>
            <w:tcW w:w="2445" w:type="dxa"/>
          </w:tcPr>
          <w:p>
            <w:pPr>
              <w:spacing w:after="0" w:line="560" w:lineRule="exact"/>
              <w:jc w:val="center"/>
              <w:rPr>
                <w:rFonts w:ascii="仿宋_GB2312" w:hAnsi="Cambria" w:eastAsia="仿宋_GB2312" w:cs="Times New Roman"/>
                <w:kern w:val="0"/>
                <w:sz w:val="28"/>
                <w:szCs w:val="28"/>
              </w:rPr>
            </w:pPr>
          </w:p>
        </w:tc>
        <w:tc>
          <w:tcPr>
            <w:tcW w:w="2665" w:type="dxa"/>
          </w:tcPr>
          <w:p>
            <w:pPr>
              <w:spacing w:after="0" w:line="560" w:lineRule="exact"/>
              <w:jc w:val="center"/>
              <w:rPr>
                <w:rFonts w:ascii="仿宋_GB2312" w:hAnsi="Cambria" w:eastAsia="仿宋_GB2312" w:cs="Times New Roman"/>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color w:val="auto"/>
          <w:sz w:val="32"/>
          <w:szCs w:val="32"/>
        </w:rPr>
      </w:pPr>
      <w:r>
        <w:rPr>
          <w:rFonts w:hint="eastAsia" w:ascii="黑体" w:hAnsi="Calibri" w:eastAsia="黑体" w:cs="Times New Roman"/>
          <w:color w:val="auto"/>
          <w:sz w:val="32"/>
          <w:szCs w:val="32"/>
        </w:rPr>
        <w:t>一、收入</w:t>
      </w:r>
      <w:r>
        <w:rPr>
          <w:rFonts w:hint="eastAsia" w:ascii="黑体" w:hAnsi="Cambria" w:eastAsia="黑体" w:cs="黑体"/>
          <w:color w:val="auto"/>
          <w:kern w:val="0"/>
          <w:sz w:val="32"/>
          <w:szCs w:val="32"/>
        </w:rPr>
        <w:t>支出</w:t>
      </w:r>
      <w:r>
        <w:rPr>
          <w:rFonts w:hint="eastAsia" w:ascii="黑体" w:hAnsi="Calibri" w:eastAsia="黑体" w:cs="Times New Roman"/>
          <w:color w:val="auto"/>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color w:val="auto"/>
          <w:sz w:val="32"/>
          <w:szCs w:val="32"/>
          <w:lang w:val="en-US" w:eastAsia="zh-CN"/>
        </w:rPr>
      </w:pPr>
      <w:r>
        <w:rPr>
          <w:rFonts w:hint="eastAsia" w:ascii="仿宋_GB2312" w:hAnsi="Times New Roman" w:eastAsia="仿宋_GB2312" w:cs="DengXian-Regular"/>
          <w:sz w:val="32"/>
          <w:szCs w:val="32"/>
        </w:rPr>
        <w:t>本部门2019年度收入总计</w:t>
      </w:r>
      <w:r>
        <w:rPr>
          <w:rFonts w:hint="eastAsia" w:ascii="仿宋_GB2312" w:hAnsi="Times New Roman" w:eastAsia="仿宋_GB2312" w:cs="DengXian-Regular"/>
          <w:sz w:val="32"/>
          <w:szCs w:val="32"/>
          <w:lang w:val="en-US" w:eastAsia="zh-CN"/>
        </w:rPr>
        <w:t>1249.55</w:t>
      </w:r>
      <w:r>
        <w:rPr>
          <w:rFonts w:hint="eastAsia" w:ascii="仿宋_GB2312" w:hAnsi="Times New Roman" w:eastAsia="仿宋_GB2312" w:cs="DengXian-Regular"/>
          <w:sz w:val="32"/>
          <w:szCs w:val="32"/>
        </w:rPr>
        <w:t>万元，支出总计</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w:t>
      </w:r>
      <w:r>
        <w:rPr>
          <w:rFonts w:hint="eastAsia" w:ascii="仿宋_GB2312" w:hAnsi="Times New Roman" w:eastAsia="仿宋_GB2312" w:cs="DengXian-Regular"/>
          <w:color w:val="auto"/>
          <w:sz w:val="32"/>
          <w:szCs w:val="32"/>
        </w:rPr>
        <w:t>。与2018年度决算相比，收</w:t>
      </w:r>
      <w:r>
        <w:rPr>
          <w:rFonts w:hint="eastAsia" w:ascii="仿宋_GB2312" w:hAnsi="Times New Roman" w:eastAsia="仿宋_GB2312" w:cs="DengXian-Regular"/>
          <w:color w:val="auto"/>
          <w:sz w:val="32"/>
          <w:szCs w:val="32"/>
          <w:lang w:eastAsia="zh-CN"/>
        </w:rPr>
        <w:t>入减少</w:t>
      </w:r>
      <w:r>
        <w:rPr>
          <w:rFonts w:hint="eastAsia" w:ascii="仿宋_GB2312" w:hAnsi="Times New Roman" w:eastAsia="仿宋_GB2312" w:cs="DengXian-Regular"/>
          <w:color w:val="auto"/>
          <w:sz w:val="32"/>
          <w:szCs w:val="32"/>
          <w:lang w:val="en-US" w:eastAsia="zh-CN"/>
        </w:rPr>
        <w:t>39.8</w:t>
      </w:r>
      <w:r>
        <w:rPr>
          <w:rFonts w:hint="eastAsia" w:ascii="仿宋_GB2312" w:hAnsi="Times New Roman" w:eastAsia="仿宋_GB2312" w:cs="DengXian-Regular"/>
          <w:color w:val="auto"/>
          <w:sz w:val="32"/>
          <w:szCs w:val="32"/>
        </w:rPr>
        <w:t>万元，下降</w:t>
      </w:r>
      <w:r>
        <w:rPr>
          <w:rFonts w:hint="eastAsia" w:ascii="仿宋_GB2312" w:hAnsi="Times New Roman" w:eastAsia="仿宋_GB2312" w:cs="DengXian-Regular"/>
          <w:color w:val="auto"/>
          <w:sz w:val="32"/>
          <w:szCs w:val="32"/>
          <w:lang w:val="en-US" w:eastAsia="zh-CN"/>
        </w:rPr>
        <w:t>3.09</w:t>
      </w:r>
      <w:r>
        <w:rPr>
          <w:rFonts w:hint="eastAsia" w:ascii="仿宋_GB2312" w:hAnsi="Times New Roman" w:eastAsia="仿宋_GB2312" w:cs="DengXian-Regular"/>
          <w:color w:val="auto"/>
          <w:sz w:val="32"/>
          <w:szCs w:val="32"/>
        </w:rPr>
        <w:t>%，主要原因</w:t>
      </w:r>
      <w:r>
        <w:rPr>
          <w:rFonts w:hint="eastAsia" w:ascii="仿宋_GB2312" w:hAnsi="Times New Roman" w:eastAsia="仿宋_GB2312" w:cs="DengXian-Regular"/>
          <w:color w:val="auto"/>
          <w:sz w:val="32"/>
          <w:szCs w:val="32"/>
          <w:lang w:eastAsia="zh-CN"/>
        </w:rPr>
        <w:t>缩减预算项目</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lang w:eastAsia="zh-CN"/>
        </w:rPr>
        <w:t>支出减少</w:t>
      </w:r>
      <w:r>
        <w:rPr>
          <w:rFonts w:hint="eastAsia" w:ascii="仿宋_GB2312" w:hAnsi="Times New Roman" w:eastAsia="仿宋_GB2312" w:cs="DengXian-Regular"/>
          <w:color w:val="auto"/>
          <w:sz w:val="32"/>
          <w:szCs w:val="32"/>
          <w:lang w:val="en-US" w:eastAsia="zh-CN"/>
        </w:rPr>
        <w:t>88.27万元，</w:t>
      </w:r>
      <w:r>
        <w:rPr>
          <w:rFonts w:hint="eastAsia" w:ascii="仿宋_GB2312" w:hAnsi="Times New Roman" w:eastAsia="仿宋_GB2312" w:cs="DengXian-Regular"/>
          <w:color w:val="auto"/>
          <w:sz w:val="32"/>
          <w:szCs w:val="32"/>
        </w:rPr>
        <w:t>下降</w:t>
      </w:r>
      <w:r>
        <w:rPr>
          <w:rFonts w:hint="eastAsia" w:ascii="仿宋_GB2312" w:hAnsi="Times New Roman" w:eastAsia="仿宋_GB2312" w:cs="DengXian-Regular"/>
          <w:color w:val="auto"/>
          <w:sz w:val="32"/>
          <w:szCs w:val="32"/>
          <w:lang w:val="en-US" w:eastAsia="zh-CN"/>
        </w:rPr>
        <w:t>6.57</w:t>
      </w:r>
      <w:r>
        <w:rPr>
          <w:rFonts w:hint="eastAsia" w:ascii="仿宋_GB2312" w:hAnsi="Times New Roman" w:eastAsia="仿宋_GB2312" w:cs="DengXian-Regular"/>
          <w:color w:val="auto"/>
          <w:sz w:val="32"/>
          <w:szCs w:val="32"/>
        </w:rPr>
        <w:t>%，主要原因是</w:t>
      </w:r>
      <w:r>
        <w:rPr>
          <w:rFonts w:hint="eastAsia" w:ascii="仿宋_GB2312" w:hAnsi="Times New Roman" w:eastAsia="仿宋_GB2312" w:cs="DengXian-Regular"/>
          <w:color w:val="auto"/>
          <w:sz w:val="32"/>
          <w:szCs w:val="32"/>
          <w:lang w:eastAsia="zh-CN"/>
        </w:rPr>
        <w:t>严格控制经费支出。</w:t>
      </w:r>
    </w:p>
    <w:p>
      <w:pPr>
        <w:keepNext/>
        <w:keepLines/>
        <w:snapToGrid w:val="0"/>
        <w:spacing w:line="580" w:lineRule="exact"/>
        <w:ind w:firstLine="640" w:firstLineChars="200"/>
        <w:outlineLvl w:val="1"/>
        <w:rPr>
          <w:rFonts w:ascii="黑体" w:hAnsi="Calibri" w:eastAsia="黑体" w:cs="Times New Roman"/>
          <w:color w:val="auto"/>
          <w:sz w:val="32"/>
          <w:szCs w:val="32"/>
        </w:rPr>
      </w:pPr>
      <w:r>
        <w:rPr>
          <w:rFonts w:hint="eastAsia" w:ascii="黑体" w:hAnsi="Calibri" w:eastAsia="黑体" w:cs="Times New Roman"/>
          <w:color w:val="auto"/>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color w:val="auto"/>
          <w:sz w:val="32"/>
          <w:szCs w:val="32"/>
          <w:highlight w:val="yellow"/>
        </w:rPr>
      </w:pPr>
      <w:r>
        <w:rPr>
          <w:rFonts w:hint="eastAsia" w:ascii="仿宋_GB2312" w:hAnsi="Times New Roman" w:eastAsia="仿宋_GB2312" w:cs="DengXian-Regular"/>
          <w:color w:val="auto"/>
          <w:sz w:val="32"/>
          <w:szCs w:val="32"/>
        </w:rPr>
        <w:t>本部门2019年度本年收入合计</w:t>
      </w:r>
      <w:r>
        <w:rPr>
          <w:rFonts w:hint="eastAsia" w:ascii="仿宋_GB2312" w:hAnsi="Times New Roman" w:eastAsia="仿宋_GB2312" w:cs="DengXian-Regular"/>
          <w:color w:val="auto"/>
          <w:sz w:val="32"/>
          <w:szCs w:val="32"/>
          <w:lang w:val="en-US" w:eastAsia="zh-CN"/>
        </w:rPr>
        <w:t>1249.55</w:t>
      </w:r>
      <w:r>
        <w:rPr>
          <w:rFonts w:hint="eastAsia" w:ascii="仿宋_GB2312" w:hAnsi="Times New Roman" w:eastAsia="仿宋_GB2312" w:cs="DengXian-Regular"/>
          <w:color w:val="auto"/>
          <w:sz w:val="32"/>
          <w:szCs w:val="32"/>
        </w:rPr>
        <w:t>万元，其中：财政拨款收入</w:t>
      </w:r>
      <w:r>
        <w:rPr>
          <w:rFonts w:hint="eastAsia" w:ascii="仿宋_GB2312" w:hAnsi="Times New Roman" w:eastAsia="仿宋_GB2312" w:cs="DengXian-Regular"/>
          <w:color w:val="auto"/>
          <w:sz w:val="32"/>
          <w:szCs w:val="32"/>
          <w:lang w:val="en-US" w:eastAsia="zh-CN"/>
        </w:rPr>
        <w:t>1249.55</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100</w:t>
      </w:r>
      <w:r>
        <w:rPr>
          <w:rFonts w:hint="eastAsia" w:ascii="仿宋_GB2312" w:hAnsi="Times New Roman" w:eastAsia="仿宋_GB2312" w:cs="DengXian-Regular"/>
          <w:color w:val="auto"/>
          <w:sz w:val="32"/>
          <w:szCs w:val="32"/>
        </w:rPr>
        <w:t>%；事业收入</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%；经营收入</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%；其他收入</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p>
    <w:p>
      <w:pPr>
        <w:keepNext/>
        <w:keepLines/>
        <w:snapToGrid w:val="0"/>
        <w:spacing w:line="580" w:lineRule="exact"/>
        <w:ind w:firstLine="640" w:firstLineChars="200"/>
        <w:outlineLvl w:val="1"/>
        <w:rPr>
          <w:rFonts w:ascii="黑体" w:hAnsi="Calibri" w:eastAsia="黑体" w:cs="Times New Roman"/>
          <w:color w:val="auto"/>
          <w:sz w:val="32"/>
          <w:szCs w:val="32"/>
        </w:rPr>
      </w:pPr>
      <w:r>
        <w:rPr>
          <w:rFonts w:hint="eastAsia" w:ascii="黑体" w:hAnsi="Calibri" w:eastAsia="黑体" w:cs="Times New Roman"/>
          <w:color w:val="auto"/>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color w:val="auto"/>
          <w:sz w:val="32"/>
          <w:szCs w:val="32"/>
        </w:rPr>
        <w:t>本部门2019年度本年支出合计</w:t>
      </w:r>
      <w:r>
        <w:rPr>
          <w:rFonts w:hint="eastAsia" w:ascii="仿宋_GB2312" w:hAnsi="Times New Roman" w:eastAsia="仿宋_GB2312" w:cs="DengXian-Regular"/>
          <w:color w:val="auto"/>
          <w:sz w:val="32"/>
          <w:szCs w:val="32"/>
          <w:lang w:val="en-US" w:eastAsia="zh-CN"/>
        </w:rPr>
        <w:t>1255.13</w:t>
      </w:r>
      <w:r>
        <w:rPr>
          <w:rFonts w:hint="eastAsia" w:ascii="仿宋_GB2312" w:hAnsi="Times New Roman" w:eastAsia="仿宋_GB2312" w:cs="DengXian-Regular"/>
          <w:color w:val="auto"/>
          <w:sz w:val="32"/>
          <w:szCs w:val="32"/>
        </w:rPr>
        <w:t>万元，其中：基本支出</w:t>
      </w:r>
      <w:r>
        <w:rPr>
          <w:rFonts w:hint="eastAsia" w:ascii="仿宋_GB2312" w:hAnsi="Times New Roman" w:eastAsia="仿宋_GB2312" w:cs="DengXian-Regular"/>
          <w:color w:val="auto"/>
          <w:sz w:val="32"/>
          <w:szCs w:val="32"/>
          <w:lang w:val="en-US" w:eastAsia="zh-CN"/>
        </w:rPr>
        <w:t>1255.13</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100</w:t>
      </w:r>
      <w:r>
        <w:rPr>
          <w:rFonts w:hint="eastAsia" w:ascii="仿宋_GB2312" w:hAnsi="Times New Roman" w:eastAsia="仿宋_GB2312" w:cs="DengXian-Regular"/>
          <w:color w:val="auto"/>
          <w:sz w:val="32"/>
          <w:szCs w:val="32"/>
        </w:rPr>
        <w:t>%；项目支出</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%；经营支出</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1249.55</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39.8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3.09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auto"/>
          <w:sz w:val="32"/>
          <w:szCs w:val="32"/>
          <w:lang w:eastAsia="zh-CN"/>
        </w:rPr>
        <w:t>缩减预算项目</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88.27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控制经费支出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1249.55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80.6</w:t>
      </w:r>
      <w:r>
        <w:rPr>
          <w:rFonts w:hint="eastAsia" w:ascii="仿宋_GB2312" w:hAnsi="Times New Roman" w:eastAsia="仿宋_GB2312" w:cs="DengXian-Regular"/>
          <w:sz w:val="32"/>
          <w:szCs w:val="32"/>
        </w:rPr>
        <w:t>%（如图4）,比年初预算减少</w:t>
      </w:r>
      <w:r>
        <w:rPr>
          <w:rFonts w:hint="eastAsia" w:ascii="仿宋_GB2312" w:hAnsi="Times New Roman" w:eastAsia="仿宋_GB2312" w:cs="DengXian-Regular"/>
          <w:sz w:val="32"/>
          <w:szCs w:val="32"/>
          <w:lang w:val="en-US" w:eastAsia="zh-CN"/>
        </w:rPr>
        <w:t>300.65</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color w:val="auto"/>
          <w:sz w:val="32"/>
          <w:szCs w:val="32"/>
          <w:lang w:eastAsia="zh-CN"/>
        </w:rPr>
        <w:t>缩减预算项目</w:t>
      </w:r>
      <w:r>
        <w:rPr>
          <w:rFonts w:hint="eastAsia" w:ascii="仿宋_GB2312" w:hAnsi="Times New Roman" w:eastAsia="仿宋_GB2312" w:cs="DengXian-Regular"/>
          <w:sz w:val="32"/>
          <w:szCs w:val="32"/>
          <w:lang w:eastAsia="zh-CN"/>
        </w:rPr>
        <w:t>，确保经费合理利用</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80.97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295.07</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严格控制经费支出，确保经费合理利用</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1036.48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82.58</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161.86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12.9</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35.63</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2.84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卫生健康（类）支出</w:t>
      </w:r>
      <w:r>
        <w:rPr>
          <w:rFonts w:hint="eastAsia" w:ascii="仿宋_GB2312" w:hAnsi="Times New Roman" w:eastAsia="仿宋_GB2312" w:cs="DengXian-Regular"/>
          <w:sz w:val="32"/>
          <w:szCs w:val="32"/>
          <w:lang w:val="en-US" w:eastAsia="zh-CN"/>
        </w:rPr>
        <w:t>21.16万元，占1.68%</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933.58</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321.55</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1.85</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48.68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51.32</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建立健全规范公车使用制度</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120.24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审计工作业务增加，用车数量增加</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 w:hAnsi="仿宋" w:eastAsia="仿宋" w:cs="仿宋"/>
          <w:sz w:val="32"/>
          <w:szCs w:val="32"/>
        </w:rPr>
        <w:t>因公出国（境）费支出较年初预算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ascii="仿宋" w:hAnsi="仿宋" w:eastAsia="仿宋" w:cs="仿宋"/>
          <w:color w:val="000000"/>
          <w:sz w:val="32"/>
          <w:szCs w:val="32"/>
          <w:lang w:eastAsia="zh-CN"/>
        </w:rPr>
        <w:t>。</w:t>
      </w:r>
    </w:p>
    <w:p>
      <w:pPr>
        <w:numPr>
          <w:ilvl w:val="0"/>
          <w:numId w:val="3"/>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1.85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51.32</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是严格控制用车，完善公车制度</w:t>
      </w:r>
      <w:r>
        <w:rPr>
          <w:rFonts w:hint="eastAsia" w:ascii="仿宋_GB2312" w:hAnsi="Times New Roman" w:eastAsia="仿宋_GB2312" w:cs="DengXian-Regular"/>
          <w:sz w:val="32"/>
          <w:szCs w:val="32"/>
        </w:rPr>
        <w:t>；较上</w:t>
      </w:r>
      <w:r>
        <w:rPr>
          <w:rFonts w:hint="eastAsia" w:ascii="仿宋_GB2312" w:hAnsi="Times New Roman" w:eastAsia="仿宋_GB2312" w:cs="DengXian-Regular"/>
          <w:sz w:val="32"/>
          <w:szCs w:val="32"/>
          <w:lang w:eastAsia="zh-CN"/>
        </w:rPr>
        <w:t>年增长</w:t>
      </w:r>
      <w:r>
        <w:rPr>
          <w:rFonts w:hint="eastAsia" w:ascii="仿宋_GB2312" w:hAnsi="Times New Roman" w:eastAsia="仿宋_GB2312" w:cs="DengXian-Regular"/>
          <w:sz w:val="32"/>
          <w:szCs w:val="32"/>
          <w:lang w:val="en-US" w:eastAsia="zh-CN"/>
        </w:rPr>
        <w:t>1.01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120.24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审计业务增加用车增加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 w:hAnsi="仿宋" w:eastAsia="仿宋" w:cs="仿宋"/>
          <w:sz w:val="32"/>
          <w:szCs w:val="32"/>
        </w:rPr>
        <w:t>公务用车购置费支出较年初预算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w:t>
      </w:r>
      <w:r>
        <w:rPr>
          <w:rFonts w:hint="eastAsia" w:ascii="仿宋" w:hAnsi="仿宋" w:eastAsia="仿宋" w:cs="仿宋"/>
          <w:color w:val="000000"/>
          <w:sz w:val="32"/>
          <w:szCs w:val="32"/>
        </w:rPr>
        <w:t>无增减</w:t>
      </w:r>
      <w:r>
        <w:rPr>
          <w:rFonts w:hint="eastAsia" w:ascii="仿宋" w:hAnsi="仿宋" w:eastAsia="仿宋" w:cs="仿宋"/>
          <w:color w:val="000000"/>
          <w:sz w:val="32"/>
          <w:szCs w:val="32"/>
          <w:lang w:eastAsia="zh-CN"/>
        </w:rPr>
        <w:t>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严格控制用车，完善公车制度</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120.24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审计业务增加，用车增多</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 w:hAnsi="仿宋" w:eastAsia="仿宋" w:cs="仿宋"/>
          <w:sz w:val="32"/>
          <w:szCs w:val="32"/>
        </w:rPr>
        <w:t>公务接待费支出较年初预算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ascii="仿宋" w:hAnsi="仿宋" w:eastAsia="仿宋" w:cs="仿宋"/>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pStyle w:val="3"/>
        <w:spacing w:before="0" w:after="0" w:line="584" w:lineRule="exact"/>
        <w:ind w:firstLine="800" w:firstLineChars="250"/>
        <w:rPr>
          <w:rFonts w:ascii="仿宋" w:hAnsi="仿宋" w:eastAsia="仿宋" w:cs="Times New Roman"/>
          <w:b w:val="0"/>
          <w:bCs w:val="0"/>
        </w:rPr>
      </w:pPr>
      <w:r>
        <w:rPr>
          <w:rFonts w:hint="eastAsia" w:ascii="仿宋" w:hAnsi="仿宋" w:eastAsia="仿宋" w:cs="仿宋"/>
          <w:b w:val="0"/>
          <w:bCs w:val="0"/>
        </w:rPr>
        <w:t>严格按照县委组织部、县直工委关于加强绩效管理考核工作方案，结合本单位工作实际，将年度工作目标分解细化、量化，根据“三定”方案规定，深入实施个人“月记载、季小结”等，进行年度综合考核评价得分，并确定考核档次，实行痕迹化管理。</w:t>
      </w:r>
    </w:p>
    <w:p>
      <w:pPr>
        <w:adjustRightInd w:val="0"/>
        <w:snapToGrid w:val="0"/>
        <w:spacing w:after="0" w:line="580" w:lineRule="exact"/>
        <w:ind w:firstLine="640" w:firstLineChars="200"/>
        <w:rPr>
          <w:rFonts w:ascii="仿宋_GB2312" w:eastAsia="仿宋_GB2312"/>
          <w:sz w:val="32"/>
          <w:szCs w:val="32"/>
        </w:rPr>
      </w:pPr>
      <w:r>
        <w:rPr>
          <w:rFonts w:hint="eastAsia" w:ascii="仿宋" w:hAnsi="仿宋" w:eastAsia="仿宋" w:cs="仿宋"/>
          <w:sz w:val="32"/>
          <w:szCs w:val="32"/>
        </w:rPr>
        <w:t>通过开展</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年专项项目绩效评价，我单位取得了</w:t>
      </w:r>
      <w:r>
        <w:rPr>
          <w:rFonts w:hint="eastAsia" w:ascii="仿宋" w:hAnsi="仿宋" w:eastAsia="仿宋" w:cs="仿宋"/>
          <w:color w:val="000000"/>
          <w:sz w:val="32"/>
          <w:szCs w:val="32"/>
        </w:rPr>
        <w:t>良好的经济效益、社会效益和环境效益，</w:t>
      </w:r>
      <w:r>
        <w:rPr>
          <w:rFonts w:hint="eastAsia" w:ascii="仿宋" w:hAnsi="仿宋" w:eastAsia="仿宋" w:cs="仿宋"/>
          <w:sz w:val="32"/>
          <w:szCs w:val="32"/>
        </w:rPr>
        <w:t>绩效综合评价等级“优”。通过绩效评价，促进了项目管理水平的提高，进一步完善了规章制度；明确了各项目绩效目标，合理设置内容全面、可操作性强的绩效评价指标，达到了绩效考核的目的。</w:t>
      </w:r>
    </w:p>
    <w:p>
      <w:pPr>
        <w:adjustRightInd w:val="0"/>
        <w:snapToGrid w:val="0"/>
        <w:spacing w:line="580" w:lineRule="exact"/>
        <w:ind w:left="420" w:leftChars="200" w:firstLine="321" w:firstLineChars="1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 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本部门在今年部门决算公开中反映</w:t>
      </w:r>
      <w:r>
        <w:rPr>
          <w:rFonts w:hint="eastAsia" w:ascii="仿宋_GB2312" w:hAnsi="仿宋_GB2312" w:eastAsia="仿宋_GB2312" w:cs="仿宋_GB2312"/>
          <w:sz w:val="32"/>
          <w:szCs w:val="32"/>
          <w:highlight w:val="none"/>
          <w:lang w:eastAsia="zh-CN"/>
        </w:rPr>
        <w:t>信息化建设</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和审计业务项目等</w:t>
      </w:r>
      <w:r>
        <w:rPr>
          <w:rFonts w:hint="eastAsia" w:ascii="仿宋_GB2312" w:hAnsi="仿宋_GB2312" w:eastAsia="仿宋_GB2312" w:cs="仿宋_GB2312"/>
          <w:sz w:val="32"/>
          <w:szCs w:val="32"/>
          <w:highlight w:val="none"/>
          <w:lang w:val="en-US" w:eastAsia="zh-CN"/>
        </w:rPr>
        <w:t>2个</w:t>
      </w:r>
      <w:r>
        <w:rPr>
          <w:rFonts w:hint="eastAsia" w:ascii="仿宋_GB2312" w:hAnsi="仿宋_GB2312" w:eastAsia="仿宋_GB2312" w:cs="仿宋_GB2312"/>
          <w:sz w:val="32"/>
          <w:szCs w:val="32"/>
          <w:highlight w:val="none"/>
        </w:rPr>
        <w:t>绩效自评结果。</w:t>
      </w:r>
    </w:p>
    <w:p>
      <w:pPr>
        <w:adjustRightInd w:val="0"/>
        <w:snapToGrid w:val="0"/>
        <w:spacing w:line="5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）审计业务项目自评综述：</w:t>
      </w:r>
      <w:r>
        <w:rPr>
          <w:rFonts w:hint="eastAsia" w:ascii="仿宋_GB2312" w:hAnsi="仿宋_GB2312" w:eastAsia="仿宋_GB2312" w:cs="仿宋_GB2312"/>
          <w:sz w:val="32"/>
          <w:szCs w:val="32"/>
          <w:highlight w:val="none"/>
        </w:rPr>
        <w:t>根据年初设定的绩效目标</w:t>
      </w:r>
      <w:r>
        <w:rPr>
          <w:rFonts w:hint="eastAsia" w:ascii="仿宋_GB2312" w:hAnsi="仿宋_GB2312" w:eastAsia="仿宋_GB2312" w:cs="仿宋_GB2312"/>
          <w:sz w:val="32"/>
          <w:szCs w:val="32"/>
          <w:highlight w:val="none"/>
          <w:lang w:eastAsia="zh-CN"/>
        </w:rPr>
        <w:t>，审计业务项目全年预算数为</w:t>
      </w:r>
      <w:r>
        <w:rPr>
          <w:rFonts w:hint="eastAsia" w:ascii="仿宋_GB2312" w:hAnsi="仿宋_GB2312" w:eastAsia="仿宋_GB2312" w:cs="仿宋_GB2312"/>
          <w:sz w:val="32"/>
          <w:szCs w:val="32"/>
          <w:highlight w:val="none"/>
          <w:lang w:val="en-US" w:eastAsia="zh-CN"/>
        </w:rPr>
        <w:t>178万元，执行数为143.76万元，完成预算的80.77%。审计业务项目绩效目标完成情况：一是通过项目决算审计及可以保障资金合理、合法使用，正确评价投资效果，二是通过离任审计可以引导和规范领导人的经营思想和行为，揭露非法行为；三是完成政府交办的各项审计业务。</w:t>
      </w:r>
    </w:p>
    <w:p>
      <w:pPr>
        <w:adjustRightInd w:val="0"/>
        <w:snapToGrid w:val="0"/>
        <w:spacing w:line="5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）信息化建设项目自评综述：根据年初设定的绩效目标，信息化建设项目绩效自评得分为</w:t>
      </w:r>
      <w:r>
        <w:rPr>
          <w:rFonts w:hint="eastAsia" w:ascii="仿宋_GB2312" w:hAnsi="仿宋_GB2312" w:eastAsia="仿宋_GB2312" w:cs="仿宋_GB2312"/>
          <w:sz w:val="32"/>
          <w:szCs w:val="32"/>
          <w:highlight w:val="none"/>
          <w:lang w:val="en-US" w:eastAsia="zh-CN"/>
        </w:rPr>
        <w:t>99.72</w:t>
      </w:r>
      <w:r>
        <w:rPr>
          <w:rFonts w:hint="eastAsia" w:ascii="仿宋_GB2312" w:hAnsi="仿宋_GB2312" w:eastAsia="仿宋_GB2312" w:cs="仿宋_GB2312"/>
          <w:sz w:val="32"/>
          <w:szCs w:val="32"/>
          <w:highlight w:val="none"/>
          <w:lang w:eastAsia="zh-CN"/>
        </w:rPr>
        <w:t>分。全年预算数为</w:t>
      </w:r>
      <w:r>
        <w:rPr>
          <w:rFonts w:hint="eastAsia" w:ascii="仿宋_GB2312" w:hAnsi="仿宋_GB2312"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lang w:eastAsia="zh-CN"/>
        </w:rPr>
        <w:t>万元，执行数为</w:t>
      </w:r>
      <w:r>
        <w:rPr>
          <w:rFonts w:hint="eastAsia" w:ascii="仿宋_GB2312" w:hAnsi="仿宋_GB2312" w:eastAsia="仿宋_GB2312" w:cs="仿宋_GB2312"/>
          <w:sz w:val="32"/>
          <w:szCs w:val="32"/>
          <w:highlight w:val="none"/>
          <w:lang w:val="en-US" w:eastAsia="zh-CN"/>
        </w:rPr>
        <w:t>58.19</w:t>
      </w:r>
      <w:r>
        <w:rPr>
          <w:rFonts w:hint="eastAsia" w:ascii="仿宋_GB2312" w:hAnsi="仿宋_GB2312" w:eastAsia="仿宋_GB2312" w:cs="仿宋_GB2312"/>
          <w:sz w:val="32"/>
          <w:szCs w:val="32"/>
          <w:highlight w:val="none"/>
          <w:lang w:eastAsia="zh-CN"/>
        </w:rPr>
        <w:t>万元，完成预算的</w:t>
      </w:r>
      <w:r>
        <w:rPr>
          <w:rFonts w:hint="eastAsia" w:ascii="仿宋_GB2312" w:hAnsi="仿宋_GB2312" w:eastAsia="仿宋_GB2312" w:cs="仿宋_GB2312"/>
          <w:sz w:val="32"/>
          <w:szCs w:val="32"/>
          <w:highlight w:val="none"/>
          <w:lang w:val="en-US" w:eastAsia="zh-CN"/>
        </w:rPr>
        <w:t>98.63%</w:t>
      </w:r>
      <w:r>
        <w:rPr>
          <w:rFonts w:hint="eastAsia" w:ascii="仿宋_GB2312" w:hAnsi="仿宋_GB2312" w:eastAsia="仿宋_GB2312" w:cs="仿宋_GB2312"/>
          <w:sz w:val="32"/>
          <w:szCs w:val="32"/>
          <w:highlight w:val="none"/>
          <w:lang w:eastAsia="zh-CN"/>
        </w:rPr>
        <w:t>。信息化建设绩效目标完成情况：一是信息化的条件下有效履行审计监督职责；二是建成对依法接受审计监督的财政收支或者财务收支的真实、合法、效益，实施有效监督的国家审计信息系统。</w:t>
      </w:r>
    </w:p>
    <w:p>
      <w:pPr>
        <w:numPr>
          <w:ilvl w:val="0"/>
          <w:numId w:val="0"/>
        </w:numPr>
        <w:autoSpaceDE w:val="0"/>
        <w:autoSpaceDN w:val="0"/>
        <w:adjustRightInd w:val="0"/>
        <w:ind w:left="630" w:left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发现的主要问题及原因：一是项目过程管理有待加强；二是相关业务管理制度有待完善；三是绩效工作管理有待加强</w:t>
      </w:r>
      <w:r>
        <w:rPr>
          <w:rFonts w:hint="eastAsia" w:ascii="仿宋_GB2312" w:hAnsi="仿宋_GB2312" w:eastAsia="仿宋_GB2312" w:cs="仿宋_GB2312"/>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是加强资金管理，科学合理编制预算，健全专项资金管理制度，加强预算执行管理，不断提高资金使用效益。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是建立健全相关绩效管理制度，实现绩效评价结果与预算安排相挂钩；三是加强项目的过程管理，加强项目资料的审核工作，确保信息的真实性、可靠性</w:t>
      </w:r>
      <w:r>
        <w:rPr>
          <w:rFonts w:hint="eastAsia" w:ascii="仿宋_GB2312" w:hAnsi="仿宋_GB2312" w:eastAsia="仿宋_GB2312" w:cs="仿宋_GB2312"/>
          <w:sz w:val="32"/>
          <w:szCs w:val="32"/>
          <w:lang w:eastAsia="zh-CN"/>
        </w:rPr>
        <w:t>。</w:t>
      </w:r>
    </w:p>
    <w:p>
      <w:pPr>
        <w:widowControl w:val="0"/>
        <w:numPr>
          <w:ilvl w:val="0"/>
          <w:numId w:val="0"/>
        </w:numPr>
        <w:adjustRightInd w:val="0"/>
        <w:snapToGrid w:val="0"/>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财政评价项目绩效评价结果</w:t>
      </w:r>
    </w:p>
    <w:p>
      <w:pPr>
        <w:adjustRightInd w:val="0"/>
        <w:snapToGrid w:val="0"/>
        <w:spacing w:line="584" w:lineRule="exact"/>
        <w:ind w:firstLine="640" w:firstLineChars="200"/>
        <w:rPr>
          <w:rFonts w:hint="eastAsia" w:ascii="仿宋" w:hAnsi="仿宋" w:eastAsia="仿宋" w:cs="___WRD_EMBED_SUB_42"/>
          <w:sz w:val="32"/>
          <w:szCs w:val="32"/>
          <w:lang w:eastAsia="zh-CN"/>
        </w:rPr>
      </w:pPr>
      <w:r>
        <w:rPr>
          <w:rFonts w:hint="eastAsia" w:ascii="仿宋" w:hAnsi="仿宋" w:eastAsia="仿宋" w:cs="___WRD_EMBED_SUB_42"/>
          <w:sz w:val="32"/>
          <w:szCs w:val="32"/>
        </w:rPr>
        <w:t>通过绩效评价，</w:t>
      </w:r>
      <w:r>
        <w:rPr>
          <w:rFonts w:hint="eastAsia" w:ascii="仿宋" w:hAnsi="仿宋" w:eastAsia="仿宋" w:cs="微软雅黑"/>
          <w:sz w:val="32"/>
          <w:szCs w:val="32"/>
        </w:rPr>
        <w:t>促进了</w:t>
      </w:r>
      <w:r>
        <w:rPr>
          <w:rFonts w:hint="eastAsia" w:ascii="仿宋" w:hAnsi="仿宋" w:eastAsia="仿宋" w:cs="___WRD_EMBED_SUB_42"/>
          <w:sz w:val="32"/>
          <w:szCs w:val="32"/>
        </w:rPr>
        <w:t>项目管理水</w:t>
      </w:r>
      <w:r>
        <w:rPr>
          <w:rFonts w:hint="eastAsia" w:ascii="仿宋" w:hAnsi="仿宋" w:eastAsia="仿宋" w:cs="微软雅黑"/>
          <w:sz w:val="32"/>
          <w:szCs w:val="32"/>
        </w:rPr>
        <w:t>平</w:t>
      </w:r>
      <w:r>
        <w:rPr>
          <w:rFonts w:hint="eastAsia" w:ascii="仿宋" w:hAnsi="仿宋" w:eastAsia="仿宋" w:cs="___WRD_EMBED_SUB_42"/>
          <w:sz w:val="32"/>
          <w:szCs w:val="32"/>
        </w:rPr>
        <w:t>的提</w:t>
      </w:r>
      <w:r>
        <w:rPr>
          <w:rFonts w:hint="eastAsia" w:ascii="仿宋" w:hAnsi="仿宋" w:eastAsia="仿宋" w:cs="微软雅黑"/>
          <w:sz w:val="32"/>
          <w:szCs w:val="32"/>
        </w:rPr>
        <w:t>高</w:t>
      </w:r>
      <w:r>
        <w:rPr>
          <w:rFonts w:hint="eastAsia" w:ascii="仿宋" w:hAnsi="仿宋" w:eastAsia="仿宋" w:cs="___WRD_EMBED_SUB_42"/>
          <w:sz w:val="32"/>
          <w:szCs w:val="32"/>
        </w:rPr>
        <w:t>，</w:t>
      </w:r>
      <w:r>
        <w:rPr>
          <w:rFonts w:hint="eastAsia" w:ascii="仿宋" w:hAnsi="仿宋" w:eastAsia="仿宋" w:cs="微软雅黑"/>
          <w:sz w:val="32"/>
          <w:szCs w:val="32"/>
        </w:rPr>
        <w:t>进</w:t>
      </w:r>
      <w:r>
        <w:rPr>
          <w:rFonts w:hint="eastAsia" w:ascii="仿宋" w:hAnsi="仿宋" w:eastAsia="仿宋" w:cs="___WRD_EMBED_SUB_42"/>
          <w:sz w:val="32"/>
          <w:szCs w:val="32"/>
        </w:rPr>
        <w:t>一</w:t>
      </w:r>
      <w:r>
        <w:rPr>
          <w:rFonts w:hint="eastAsia" w:ascii="仿宋" w:hAnsi="仿宋" w:eastAsia="仿宋" w:cs="微软雅黑"/>
          <w:sz w:val="32"/>
          <w:szCs w:val="32"/>
        </w:rPr>
        <w:t>步</w:t>
      </w:r>
      <w:r>
        <w:rPr>
          <w:rFonts w:hint="eastAsia" w:ascii="仿宋" w:hAnsi="仿宋" w:eastAsia="仿宋" w:cs="___WRD_EMBED_SUB_42"/>
          <w:sz w:val="32"/>
          <w:szCs w:val="32"/>
        </w:rPr>
        <w:t>完</w:t>
      </w:r>
      <w:r>
        <w:rPr>
          <w:rFonts w:hint="eastAsia" w:ascii="仿宋" w:hAnsi="仿宋" w:eastAsia="仿宋" w:cs="微软雅黑"/>
          <w:sz w:val="32"/>
          <w:szCs w:val="32"/>
        </w:rPr>
        <w:t>善了</w:t>
      </w:r>
      <w:r>
        <w:rPr>
          <w:rFonts w:hint="eastAsia" w:ascii="仿宋" w:hAnsi="仿宋" w:eastAsia="仿宋" w:cs="___WRD_EMBED_SUB_42"/>
          <w:sz w:val="32"/>
          <w:szCs w:val="32"/>
        </w:rPr>
        <w:t>规</w:t>
      </w:r>
      <w:r>
        <w:rPr>
          <w:rFonts w:hint="eastAsia" w:ascii="仿宋" w:hAnsi="仿宋" w:eastAsia="仿宋" w:cs="微软雅黑"/>
          <w:sz w:val="32"/>
          <w:szCs w:val="32"/>
        </w:rPr>
        <w:t>章</w:t>
      </w:r>
      <w:r>
        <w:rPr>
          <w:rFonts w:hint="eastAsia" w:ascii="仿宋" w:hAnsi="仿宋" w:eastAsia="仿宋" w:cs="___WRD_EMBED_SUB_42"/>
          <w:sz w:val="32"/>
          <w:szCs w:val="32"/>
        </w:rPr>
        <w:t>制度；明</w:t>
      </w:r>
      <w:r>
        <w:rPr>
          <w:rFonts w:hint="eastAsia" w:ascii="仿宋" w:hAnsi="仿宋" w:eastAsia="仿宋" w:cs="微软雅黑"/>
          <w:sz w:val="32"/>
          <w:szCs w:val="32"/>
        </w:rPr>
        <w:t>确了</w:t>
      </w:r>
      <w:r>
        <w:rPr>
          <w:rFonts w:hint="eastAsia" w:ascii="仿宋" w:hAnsi="仿宋" w:eastAsia="仿宋" w:cs="___WRD_EMBED_SUB_42"/>
          <w:sz w:val="32"/>
          <w:szCs w:val="32"/>
        </w:rPr>
        <w:t>各项目绩效目标，合理设置内</w:t>
      </w:r>
      <w:r>
        <w:rPr>
          <w:rFonts w:hint="eastAsia" w:ascii="仿宋" w:hAnsi="仿宋" w:eastAsia="仿宋" w:cs="微软雅黑"/>
          <w:sz w:val="32"/>
          <w:szCs w:val="32"/>
        </w:rPr>
        <w:t>容</w:t>
      </w:r>
      <w:r>
        <w:rPr>
          <w:rFonts w:hint="eastAsia" w:ascii="仿宋" w:hAnsi="仿宋" w:eastAsia="仿宋" w:cs="___WRD_EMBED_SUB_42"/>
          <w:sz w:val="32"/>
          <w:szCs w:val="32"/>
        </w:rPr>
        <w:t>全面、可</w:t>
      </w:r>
      <w:r>
        <w:rPr>
          <w:rFonts w:hint="eastAsia" w:ascii="仿宋" w:hAnsi="仿宋" w:eastAsia="仿宋" w:cs="微软雅黑"/>
          <w:sz w:val="32"/>
          <w:szCs w:val="32"/>
        </w:rPr>
        <w:t>操</w:t>
      </w:r>
      <w:r>
        <w:rPr>
          <w:rFonts w:hint="eastAsia" w:ascii="仿宋" w:hAnsi="仿宋" w:eastAsia="仿宋" w:cs="___WRD_EMBED_SUB_42"/>
          <w:sz w:val="32"/>
          <w:szCs w:val="32"/>
        </w:rPr>
        <w:t>作性</w:t>
      </w:r>
      <w:r>
        <w:rPr>
          <w:rFonts w:hint="eastAsia" w:ascii="仿宋" w:hAnsi="仿宋" w:eastAsia="仿宋" w:cs="微软雅黑"/>
          <w:sz w:val="32"/>
          <w:szCs w:val="32"/>
        </w:rPr>
        <w:t>强</w:t>
      </w:r>
      <w:r>
        <w:rPr>
          <w:rFonts w:hint="eastAsia" w:ascii="仿宋" w:hAnsi="仿宋" w:eastAsia="仿宋" w:cs="___WRD_EMBED_SUB_42"/>
          <w:sz w:val="32"/>
          <w:szCs w:val="32"/>
        </w:rPr>
        <w:t>的绩效评价指标，</w:t>
      </w:r>
      <w:r>
        <w:rPr>
          <w:rFonts w:hint="eastAsia" w:ascii="仿宋" w:hAnsi="仿宋" w:eastAsia="仿宋" w:cs="微软雅黑"/>
          <w:sz w:val="32"/>
          <w:szCs w:val="32"/>
        </w:rPr>
        <w:t>达</w:t>
      </w:r>
      <w:r>
        <w:rPr>
          <w:rFonts w:hint="eastAsia" w:ascii="仿宋" w:hAnsi="仿宋" w:eastAsia="仿宋" w:cs="___WRD_EMBED_SUB_42"/>
          <w:sz w:val="32"/>
          <w:szCs w:val="32"/>
        </w:rPr>
        <w:t>到</w:t>
      </w:r>
      <w:r>
        <w:rPr>
          <w:rFonts w:hint="eastAsia" w:ascii="仿宋" w:hAnsi="仿宋" w:eastAsia="仿宋" w:cs="微软雅黑"/>
          <w:sz w:val="32"/>
          <w:szCs w:val="32"/>
        </w:rPr>
        <w:t>了</w:t>
      </w:r>
      <w:r>
        <w:rPr>
          <w:rFonts w:hint="eastAsia" w:ascii="仿宋" w:hAnsi="仿宋" w:eastAsia="仿宋" w:cs="___WRD_EMBED_SUB_42"/>
          <w:sz w:val="32"/>
          <w:szCs w:val="32"/>
        </w:rPr>
        <w:t>绩效</w:t>
      </w:r>
      <w:r>
        <w:rPr>
          <w:rFonts w:hint="eastAsia" w:ascii="仿宋" w:hAnsi="仿宋" w:eastAsia="仿宋" w:cs="微软雅黑"/>
          <w:sz w:val="32"/>
          <w:szCs w:val="32"/>
        </w:rPr>
        <w:t>考</w:t>
      </w:r>
      <w:r>
        <w:rPr>
          <w:rFonts w:hint="eastAsia" w:ascii="仿宋" w:hAnsi="仿宋" w:eastAsia="仿宋" w:cs="___WRD_EMBED_SUB_42"/>
          <w:sz w:val="32"/>
          <w:szCs w:val="32"/>
        </w:rPr>
        <w:t>核的目的</w:t>
      </w:r>
      <w:r>
        <w:rPr>
          <w:rFonts w:hint="eastAsia" w:ascii="仿宋" w:hAnsi="仿宋" w:eastAsia="仿宋" w:cs="___WRD_EMBED_SUB_42"/>
          <w:sz w:val="32"/>
          <w:szCs w:val="32"/>
          <w:lang w:eastAsia="zh-CN"/>
        </w:rPr>
        <w:t>。</w:t>
      </w:r>
    </w:p>
    <w:p>
      <w:pPr>
        <w:adjustRightInd w:val="0"/>
        <w:snapToGrid w:val="0"/>
        <w:spacing w:line="584" w:lineRule="exact"/>
        <w:ind w:firstLine="640" w:firstLineChars="200"/>
        <w:rPr>
          <w:rFonts w:hint="eastAsia" w:ascii="仿宋" w:hAnsi="仿宋" w:eastAsia="仿宋" w:cs="___WRD_EMBED_SUB_42"/>
          <w:sz w:val="32"/>
          <w:szCs w:val="32"/>
          <w:lang w:eastAsia="zh-CN"/>
        </w:rPr>
      </w:pPr>
      <w:r>
        <w:rPr>
          <w:rFonts w:hint="eastAsia" w:ascii="仿宋" w:hAnsi="仿宋" w:eastAsia="仿宋" w:cs="___WRD_EMBED_SUB_42"/>
          <w:sz w:val="32"/>
          <w:szCs w:val="32"/>
          <w:lang w:val="en-US" w:eastAsia="zh-CN"/>
        </w:rPr>
        <w:t>本部门对2019年部门整体绩效进行自我评价，评价等级为优，从评价情况来看，我局较好的完成了2019年</w:t>
      </w:r>
      <w:bookmarkStart w:id="0" w:name="_GoBack"/>
      <w:bookmarkEnd w:id="0"/>
      <w:r>
        <w:rPr>
          <w:rFonts w:hint="eastAsia" w:ascii="仿宋" w:hAnsi="仿宋" w:eastAsia="仿宋" w:cs="___WRD_EMBED_SUB_42"/>
          <w:sz w:val="32"/>
          <w:szCs w:val="32"/>
          <w:lang w:val="en-US" w:eastAsia="zh-CN"/>
        </w:rPr>
        <w:t>履行职能职责和各项重点工作任务，整体绩效情况较为理想，总体上达到了预算绩效管理的要求。</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76.97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严格控制经费支出</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相比无变化</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hAnsi="Times New Roman" w:eastAsia="仿宋_GB2312" w:cs="DengXian-Regular"/>
          <w:sz w:val="32"/>
          <w:szCs w:val="32"/>
        </w:rPr>
        <w:t xml:space="preserve">1. </w:t>
      </w:r>
      <w:r>
        <w:rPr>
          <w:rFonts w:hint="eastAsia" w:ascii="仿宋_GB2312" w:eastAsia="仿宋_GB2312" w:cs="仿宋_GB2312"/>
          <w:sz w:val="32"/>
          <w:szCs w:val="32"/>
        </w:rPr>
        <w:t>本部门</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度政府性基金预算财政拨款收入支出决算表、国有资本经营预算财政拨款支出决算表、政府采购情况表无收支及结转结余情况，故政府性基金预算财政拨款收入支出决算表、国有资本经营预算财政拨款支出决算表、政府采购情况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tbl>
      <w:tblPr>
        <w:tblStyle w:val="7"/>
        <w:tblpPr w:leftFromText="180" w:rightFromText="180" w:vertAnchor="text" w:horzAnchor="page" w:tblpX="1259" w:tblpY="1"/>
        <w:tblOverlap w:val="never"/>
        <w:tblW w:w="9517" w:type="dxa"/>
        <w:jc w:val="center"/>
        <w:tblInd w:w="0" w:type="dxa"/>
        <w:tblLayout w:type="fixed"/>
        <w:tblCellMar>
          <w:top w:w="0" w:type="dxa"/>
          <w:left w:w="0" w:type="dxa"/>
          <w:bottom w:w="0" w:type="dxa"/>
          <w:right w:w="0" w:type="dxa"/>
        </w:tblCellMar>
      </w:tblPr>
      <w:tblGrid>
        <w:gridCol w:w="3236"/>
        <w:gridCol w:w="593"/>
        <w:gridCol w:w="1080"/>
        <w:gridCol w:w="2955"/>
        <w:gridCol w:w="809"/>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0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香河县审计局</w:t>
            </w:r>
          </w:p>
        </w:tc>
        <w:tc>
          <w:tcPr>
            <w:tcW w:w="5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0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9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60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237"/>
                <w:tab w:val="right" w:pos="1001"/>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val="en-US" w:eastAsia="zh-CN" w:bidi="ar"/>
              </w:rPr>
              <w:t>1249.55</w:t>
            </w: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256"/>
                <w:tab w:val="right" w:pos="1154"/>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1036.48</w:t>
            </w: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31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161.86</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21.16</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35.63</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1249.55</w:t>
            </w: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1255.13</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285"/>
                <w:tab w:val="right" w:pos="1390"/>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val="en-US" w:eastAsia="zh-CN" w:bidi="ar"/>
              </w:rPr>
              <w:t>13.56</w:t>
            </w: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7.98</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315"/>
                <w:tab w:val="right" w:pos="1390"/>
              </w:tabs>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1263.11</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1263.11</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p>
      <w:pPr>
        <w:jc w:val="left"/>
      </w:pPr>
    </w:p>
    <w:tbl>
      <w:tblPr>
        <w:tblStyle w:val="7"/>
        <w:tblW w:w="9580" w:type="dxa"/>
        <w:jc w:val="center"/>
        <w:tblInd w:w="0" w:type="dxa"/>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1249.55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1249.55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1,030.90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1,030.90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1,030.90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1,030.90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2010801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848.95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848.95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2010804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审计业务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123.76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123.76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2010806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58.19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58.19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161.86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161.86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144.66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144.66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49.71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49.71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机关事业单位职业年金缴费支出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其他行政事业单位离退休支出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抚恤</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2080801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死亡抚恤</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7"/>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1255.13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1255.13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1036.48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1036.48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854.52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审计业务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123.76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123.76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58.19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161.86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161.86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144.66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49.71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49.71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其他行政事业单位离退休支出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78.12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抚恤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2080801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死亡抚恤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7"/>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643"/>
        <w:gridCol w:w="675"/>
        <w:gridCol w:w="740"/>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香河县审计局</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4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6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1249.55</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1036.48</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1036.48</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283"/>
              </w:tabs>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161.86</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161.86</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21.16</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21.16</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35.63</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35.63</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1249.55</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1255.13</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1255.13</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7.98</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7.98</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1263.11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6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1263.11</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1263.11</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7"/>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1255.13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638"/>
              </w:tabs>
              <w:jc w:val="left"/>
              <w:rPr>
                <w:rFonts w:hint="default" w:ascii="宋体" w:hAnsi="宋体" w:eastAsia="宋体" w:cs="宋体"/>
                <w:b/>
                <w:color w:val="000000"/>
                <w:sz w:val="22"/>
                <w:lang w:val="en-US" w:eastAsia="zh-CN"/>
              </w:rPr>
            </w:pPr>
            <w:r>
              <w:rPr>
                <w:rFonts w:hint="eastAsia" w:ascii="宋体" w:hAnsi="宋体" w:eastAsia="宋体" w:cs="宋体"/>
                <w:b/>
                <w:color w:val="000000"/>
                <w:sz w:val="22"/>
                <w:lang w:eastAsia="zh-CN"/>
              </w:rPr>
              <w:tab/>
            </w:r>
            <w:r>
              <w:rPr>
                <w:rFonts w:hint="eastAsia" w:ascii="宋体" w:hAnsi="宋体" w:eastAsia="宋体" w:cs="宋体"/>
                <w:b/>
                <w:color w:val="000000"/>
                <w:sz w:val="22"/>
                <w:lang w:val="en-US" w:eastAsia="zh-CN"/>
              </w:rPr>
              <w:t>1255.13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1036.48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854.52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854.52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审计业务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123.76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123.76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2010806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58.19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58.19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161.86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161.86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144.66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144.66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49.71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49.71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16.84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16.84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其他行政事业单位离退休支出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78.12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78.12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抚恤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2080801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死亡抚恤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17.20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835.20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321.55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297"/>
              </w:tabs>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276.28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80.38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184.13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117.14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57.88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29.88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27.08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30.39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40.69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58.44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100.48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98.38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17.20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81.18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45.94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34.68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29.71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933.58</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321.55</w:t>
            </w:r>
          </w:p>
        </w:tc>
      </w:tr>
    </w:tbl>
    <w:p>
      <w:r>
        <w:br w:type="page"/>
      </w:r>
    </w:p>
    <w:tbl>
      <w:tblPr>
        <w:tblStyle w:val="7"/>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1.85</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1.85</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1.85</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注：本表反映部门本年度政府性基金预算财政拨款收入、支出及结转和结余情况。 本部门本年度无收支及结转结余情况，按要求空表列示。</w:t>
      </w:r>
      <w:r>
        <w:br w:type="page"/>
      </w:r>
    </w:p>
    <w:tbl>
      <w:tblPr>
        <w:tblStyle w:val="7"/>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香河县审计局</w:t>
            </w: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注：本表反映部门本年度国有资本经营预算财政拨款支出情况。本部门本年度无相关支出情况，按要求空表列示。</w:t>
      </w:r>
      <w:r>
        <w:rPr>
          <w:rFonts w:hint="eastAsia" w:ascii="宋体" w:hAnsi="宋体" w:eastAsia="宋体" w:cs="宋体"/>
        </w:rPr>
        <w:br w:type="page"/>
      </w:r>
    </w:p>
    <w:p>
      <w:pPr>
        <w:rPr>
          <w:rFonts w:hint="eastAsia" w:ascii="宋体" w:hAnsi="宋体" w:eastAsia="宋体" w:cs="宋体"/>
        </w:rPr>
      </w:pPr>
    </w:p>
    <w:p>
      <w:pPr>
        <w:rPr>
          <w:rFonts w:hint="eastAsia" w:ascii="宋体" w:hAnsi="宋体" w:eastAsia="宋体" w:cs="宋体"/>
        </w:rPr>
      </w:pPr>
    </w:p>
    <w:tbl>
      <w:tblPr>
        <w:tblStyle w:val="7"/>
        <w:tblW w:w="8940" w:type="dxa"/>
        <w:tblInd w:w="2"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10</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rPr>
            </w:pPr>
            <w:r>
              <w:rPr>
                <w:rFonts w:hint="eastAsia" w:ascii="宋体" w:hAnsi="宋体" w:cs="宋体"/>
                <w:color w:val="000000"/>
                <w:kern w:val="0"/>
                <w:lang w:eastAsia="zh-CN"/>
              </w:rPr>
              <w:t>部门</w:t>
            </w:r>
            <w:r>
              <w:rPr>
                <w:rFonts w:hint="eastAsia" w:ascii="宋体" w:hAnsi="宋体" w:cs="宋体"/>
                <w:color w:val="000000"/>
                <w:kern w:val="0"/>
              </w:rPr>
              <w:t>：</w:t>
            </w:r>
            <w:r>
              <w:rPr>
                <w:rFonts w:hint="eastAsia" w:ascii="宋体" w:hAnsi="宋体" w:cs="宋体"/>
                <w:color w:val="000000"/>
                <w:kern w:val="0"/>
                <w:sz w:val="20"/>
                <w:szCs w:val="20"/>
              </w:rPr>
              <w:t>香河县审计局</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w:t>
            </w:r>
            <w:r>
              <w:rPr>
                <w:rFonts w:ascii="宋体" w:hAnsi="宋体" w:cs="宋体"/>
                <w:color w:val="000000"/>
                <w:kern w:val="0"/>
              </w:rPr>
              <w:t xml:space="preserve">       </w:t>
            </w:r>
            <w:r>
              <w:rPr>
                <w:rFonts w:hint="eastAsia" w:ascii="宋体" w:hAnsi="宋体" w:cs="宋体"/>
                <w:color w:val="000000"/>
                <w:kern w:val="0"/>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w:t>
            </w:r>
            <w:r>
              <w:rPr>
                <w:rFonts w:ascii="宋体" w:hAnsi="宋体" w:cs="宋体"/>
                <w:color w:val="000000"/>
                <w:kern w:val="0"/>
              </w:rPr>
              <w:t xml:space="preserve">       </w:t>
            </w:r>
            <w:r>
              <w:rPr>
                <w:rFonts w:hint="eastAsia" w:ascii="宋体" w:hAnsi="宋体" w:cs="宋体"/>
                <w:color w:val="000000"/>
                <w:kern w:val="0"/>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rPr>
            </w:pPr>
            <w:r>
              <w:rPr>
                <w:rFonts w:hint="eastAsia" w:ascii="宋体" w:hAnsi="宋体" w:cs="宋体"/>
                <w:color w:val="000000"/>
                <w:kern w:val="0"/>
              </w:rPr>
              <w:t>注：本表反映部门本年度纳入部门预算范围的政府采购预算及支出情况。本部门本年度无预算及支出情况，按要求空表列示。</w:t>
            </w:r>
            <w:r>
              <w:rPr>
                <w:rFonts w:ascii="宋体" w:hAnsi="宋体" w:cs="宋体"/>
                <w:color w:val="000000"/>
                <w:kern w:val="0"/>
              </w:rPr>
              <w:t xml:space="preserve">           </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mc:AlternateContent>
          <mc:Choice Requires="wps">
            <w:drawing>
              <wp:anchor distT="0" distB="0" distL="114300" distR="114300" simplePos="0" relativeHeight="437282816" behindDoc="0" locked="0" layoutInCell="1" allowOverlap="1">
                <wp:simplePos x="0" y="0"/>
                <wp:positionH relativeFrom="column">
                  <wp:posOffset>-904875</wp:posOffset>
                </wp:positionH>
                <wp:positionV relativeFrom="paragraph">
                  <wp:posOffset>-1146810</wp:posOffset>
                </wp:positionV>
                <wp:extent cx="7557770" cy="11510645"/>
                <wp:effectExtent l="0" t="0" r="5080" b="14605"/>
                <wp:wrapNone/>
                <wp:docPr id="40" name="矩形 40"/>
                <wp:cNvGraphicFramePr/>
                <a:graphic xmlns:a="http://schemas.openxmlformats.org/drawingml/2006/main">
                  <a:graphicData uri="http://schemas.microsoft.com/office/word/2010/wordprocessingShape">
                    <wps:wsp>
                      <wps:cNvSpPr/>
                      <wps:spPr>
                        <a:xfrm>
                          <a:off x="937895" y="1169035"/>
                          <a:ext cx="7557770" cy="1151064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5pt;margin-top:-90.3pt;height:906.35pt;width:595.1pt;z-index:437282816;v-text-anchor:middle;mso-width-relative:page;mso-height-relative:page;" fillcolor="#FFC000" filled="t" stroked="f" coordsize="21600,21600" o:gfxdata="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TxF/13QAAAA8BAAAPAAAAAAAAAAEAIAAAACIAAABkcnMvZG93bnJldi54bWxQSwECFAAU&#10;AAAACACHTuJAxRLks14CAACMBAAADgAAAAAAAAABACAAAAAsAQAAZHJzL2Uyb0RvYy54bWxQSwUG&#10;AAAAAAYABgBZAQAA/AUAAAAA&#10;">
                <v:fill on="t" focussize="0,0"/>
                <v:stroke on="f" weight="1pt" miterlimit="8" joinstyle="miter"/>
                <v:imagedata o:title=""/>
                <o:lock v:ext="edit" aspectratio="f"/>
              </v:rect>
            </w:pict>
          </mc:Fallback>
        </mc:AlternateContent>
      </w:r>
      <w:r>
        <w:drawing>
          <wp:inline distT="0" distB="0" distL="114300" distR="114300">
            <wp:extent cx="5080000" cy="3810000"/>
            <wp:effectExtent l="4445" t="4445" r="20955" b="1460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微软雅黑">
    <w:panose1 w:val="020B0503020204020204"/>
    <w:charset w:val="86"/>
    <w:family w:val="swiss"/>
    <w:pitch w:val="default"/>
    <w:sig w:usb0="80000287" w:usb1="280F3C52" w:usb2="00000016" w:usb3="00000000" w:csb0="0004001F" w:csb1="00000000"/>
  </w:font>
  <w:font w:name="思源黑体 HW Bold">
    <w:altName w:val="黑体"/>
    <w:panose1 w:val="00000000000000000000"/>
    <w:charset w:val="86"/>
    <w:family w:val="swiss"/>
    <w:pitch w:val="default"/>
    <w:sig w:usb0="00000000" w:usb1="00000000" w:usb2="00000016" w:usb3="00000000" w:csb0="002E0107"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UnicodeMS">
    <w:altName w:val="Malgun Gothic"/>
    <w:panose1 w:val="00000000000000000000"/>
    <w:charset w:val="81"/>
    <w:family w:val="auto"/>
    <w:pitch w:val="default"/>
    <w:sig w:usb0="00000000" w:usb1="00000000" w:usb2="00000010" w:usb3="00000000" w:csb0="00080001"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 w:name="___WRD_EMBED_SUB_42">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D75A2"/>
    <w:multiLevelType w:val="singleLevel"/>
    <w:tmpl w:val="E2AD75A2"/>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77470FF"/>
    <w:multiLevelType w:val="multilevel"/>
    <w:tmpl w:val="477470FF"/>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505D7A"/>
    <w:rsid w:val="040423A8"/>
    <w:rsid w:val="04D97494"/>
    <w:rsid w:val="05272DF9"/>
    <w:rsid w:val="05B00A30"/>
    <w:rsid w:val="05B0242A"/>
    <w:rsid w:val="06CC6F07"/>
    <w:rsid w:val="071213F9"/>
    <w:rsid w:val="0AF71743"/>
    <w:rsid w:val="0B011416"/>
    <w:rsid w:val="0C282DED"/>
    <w:rsid w:val="0D2D6D54"/>
    <w:rsid w:val="0DAB21F2"/>
    <w:rsid w:val="0DDD59FF"/>
    <w:rsid w:val="0DFF2E09"/>
    <w:rsid w:val="10B707A9"/>
    <w:rsid w:val="11FA3490"/>
    <w:rsid w:val="120A69D8"/>
    <w:rsid w:val="1224537E"/>
    <w:rsid w:val="14D70A55"/>
    <w:rsid w:val="17EF7275"/>
    <w:rsid w:val="1B2F039B"/>
    <w:rsid w:val="1EB615E7"/>
    <w:rsid w:val="1FCD3D57"/>
    <w:rsid w:val="1FD75180"/>
    <w:rsid w:val="23CA0A5B"/>
    <w:rsid w:val="254E103B"/>
    <w:rsid w:val="25815E31"/>
    <w:rsid w:val="259A0591"/>
    <w:rsid w:val="26863315"/>
    <w:rsid w:val="2AAA121C"/>
    <w:rsid w:val="2B5D45C8"/>
    <w:rsid w:val="2BE71BB8"/>
    <w:rsid w:val="2D726AE2"/>
    <w:rsid w:val="2E0F7669"/>
    <w:rsid w:val="2E817441"/>
    <w:rsid w:val="2F016DBC"/>
    <w:rsid w:val="31C2036A"/>
    <w:rsid w:val="31CD4BE2"/>
    <w:rsid w:val="320D02A5"/>
    <w:rsid w:val="3479587F"/>
    <w:rsid w:val="348E566F"/>
    <w:rsid w:val="35947400"/>
    <w:rsid w:val="35AC4A65"/>
    <w:rsid w:val="3A226944"/>
    <w:rsid w:val="3A931C08"/>
    <w:rsid w:val="3AEE6A48"/>
    <w:rsid w:val="3BF51915"/>
    <w:rsid w:val="3C1620AA"/>
    <w:rsid w:val="3C175FA1"/>
    <w:rsid w:val="3D8F080F"/>
    <w:rsid w:val="3E05117D"/>
    <w:rsid w:val="3EFE0430"/>
    <w:rsid w:val="414D717A"/>
    <w:rsid w:val="41BC0F62"/>
    <w:rsid w:val="428D0CC0"/>
    <w:rsid w:val="44CE1FA4"/>
    <w:rsid w:val="4859262F"/>
    <w:rsid w:val="487F73ED"/>
    <w:rsid w:val="49190FCC"/>
    <w:rsid w:val="49DE22FC"/>
    <w:rsid w:val="4A347EAE"/>
    <w:rsid w:val="4BA3503D"/>
    <w:rsid w:val="4D52751E"/>
    <w:rsid w:val="4F165DA0"/>
    <w:rsid w:val="4FA946C8"/>
    <w:rsid w:val="51C41152"/>
    <w:rsid w:val="52600405"/>
    <w:rsid w:val="529B4319"/>
    <w:rsid w:val="53610580"/>
    <w:rsid w:val="53AB103C"/>
    <w:rsid w:val="550422BD"/>
    <w:rsid w:val="5644788C"/>
    <w:rsid w:val="565D2923"/>
    <w:rsid w:val="56830EC9"/>
    <w:rsid w:val="57773DD6"/>
    <w:rsid w:val="578B79AB"/>
    <w:rsid w:val="59061786"/>
    <w:rsid w:val="59737CBB"/>
    <w:rsid w:val="5A3F09F0"/>
    <w:rsid w:val="5ABE4710"/>
    <w:rsid w:val="5AD90370"/>
    <w:rsid w:val="5CCD3FD5"/>
    <w:rsid w:val="5CF673C7"/>
    <w:rsid w:val="5F975EBA"/>
    <w:rsid w:val="61FA5F9D"/>
    <w:rsid w:val="629902E0"/>
    <w:rsid w:val="62F911C9"/>
    <w:rsid w:val="63FD7FE2"/>
    <w:rsid w:val="64CD6910"/>
    <w:rsid w:val="654B12E5"/>
    <w:rsid w:val="655C163E"/>
    <w:rsid w:val="66F24C64"/>
    <w:rsid w:val="6789158D"/>
    <w:rsid w:val="67D81BA4"/>
    <w:rsid w:val="68D640F6"/>
    <w:rsid w:val="692E5F21"/>
    <w:rsid w:val="69514AF0"/>
    <w:rsid w:val="695F5BEF"/>
    <w:rsid w:val="6AAF1C96"/>
    <w:rsid w:val="6C5B6052"/>
    <w:rsid w:val="6EB66589"/>
    <w:rsid w:val="6F4B2DC1"/>
    <w:rsid w:val="6FFD6B6E"/>
    <w:rsid w:val="73766B80"/>
    <w:rsid w:val="75681757"/>
    <w:rsid w:val="75743625"/>
    <w:rsid w:val="75A346A8"/>
    <w:rsid w:val="75FE1279"/>
    <w:rsid w:val="76FB40E8"/>
    <w:rsid w:val="7733581A"/>
    <w:rsid w:val="77801178"/>
    <w:rsid w:val="783C5C42"/>
    <w:rsid w:val="78DF09A1"/>
    <w:rsid w:val="79B414E8"/>
    <w:rsid w:val="79B9382C"/>
    <w:rsid w:val="7A3272B4"/>
    <w:rsid w:val="7A9B69D3"/>
    <w:rsid w:val="7B043B76"/>
    <w:rsid w:val="7C041A6A"/>
    <w:rsid w:val="7C3E7412"/>
    <w:rsid w:val="7DF87365"/>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libri" w:hAnsi="Calibri" w:cs="Calibr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customStyle="1" w:styleId="13">
    <w:name w:val="List Paragraph1"/>
    <w:basedOn w:val="1"/>
    <w:qFormat/>
    <w:uiPriority w:val="99"/>
    <w:pPr>
      <w:spacing w:after="0" w:line="240" w:lineRule="auto"/>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类别 1</c:v>
                </c:pt>
                <c:pt idx="1">
                  <c:v>类别 2</c:v>
                </c:pt>
                <c:pt idx="2">
                  <c:v>类别 3</c:v>
                </c:pt>
                <c:pt idx="3">
                  <c:v>类别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solidFill>
              <a:schemeClr val="accent2"/>
            </a:solidFill>
            <a:ln>
              <a:noFill/>
            </a:ln>
            <a:effectLst/>
          </c:spPr>
          <c:invertIfNegative val="0"/>
          <c:dLbls>
            <c:delete val="1"/>
          </c:dLbls>
          <c:cat>
            <c:strRef>
              <c:f>Sheet1!$A$2:$A$5</c:f>
              <c:strCache>
                <c:ptCount val="4"/>
                <c:pt idx="0">
                  <c:v>类别 1</c:v>
                </c:pt>
                <c:pt idx="1">
                  <c:v>类别 2</c:v>
                </c:pt>
                <c:pt idx="2">
                  <c:v>类别 3</c:v>
                </c:pt>
                <c:pt idx="3">
                  <c:v>类别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a:solidFill>
              <a:schemeClr val="accent3"/>
            </a:solidFill>
            <a:ln>
              <a:noFill/>
            </a:ln>
            <a:effectLst/>
          </c:spPr>
          <c:invertIfNegative val="0"/>
          <c:dLbls>
            <c:delete val="1"/>
          </c:dLbls>
          <c:cat>
            <c:strRef>
              <c:f>Sheet1!$A$2:$A$5</c:f>
              <c:strCache>
                <c:ptCount val="4"/>
                <c:pt idx="0">
                  <c:v>类别 1</c:v>
                </c:pt>
                <c:pt idx="1">
                  <c:v>类别 2</c:v>
                </c:pt>
                <c:pt idx="2">
                  <c:v>类别 3</c:v>
                </c:pt>
                <c:pt idx="3">
                  <c:v>类别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15593474"/>
        <c:axId val="643239962"/>
      </c:barChart>
      <c:catAx>
        <c:axId val="155934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239962"/>
        <c:crosses val="autoZero"/>
        <c:auto val="1"/>
        <c:lblAlgn val="ctr"/>
        <c:lblOffset val="100"/>
        <c:noMultiLvlLbl val="0"/>
      </c:catAx>
      <c:valAx>
        <c:axId val="6432399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934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2020-09-29T07:50:00Z</cp:lastPrinted>
  <dcterms:modified xsi:type="dcterms:W3CDTF">2021-05-27T08:32:27Z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